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pStyle w:val="4"/>
        <w:spacing w:before="0" w:beforeAutospacing="0" w:after="0" w:afterAutospacing="0"/>
        <w:jc w:val="center"/>
        <w:rPr>
          <w:rFonts w:hint="eastAsia"/>
          <w:bCs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郑州住房公积金管理中心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2023年“双随机、一公开”抽查计划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强依法行政管理，提高行政监督效能，根据郑州市“双随机、一公开”监管工作联席会议办公室《关于2022年度郑州市“双随机、一公开”监管工作情况通报与2023年工作安排的通知》（郑双随机办〔2023〕1号）精神，结合郑州住房公积金管理中心工作实际，制定本计划。</w:t>
      </w:r>
    </w:p>
    <w:p>
      <w:pPr>
        <w:spacing w:line="560" w:lineRule="exact"/>
        <w:ind w:firstLine="640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计划</w:t>
      </w:r>
      <w:r>
        <w:rPr>
          <w:rFonts w:hint="eastAsia" w:ascii="黑体" w:hAnsi="黑体" w:eastAsia="黑体" w:cs="仿宋"/>
          <w:sz w:val="32"/>
          <w:szCs w:val="32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郑州住房公积金管理中心2023年“双随机、一公开”抽查计划。</w:t>
      </w:r>
    </w:p>
    <w:p>
      <w:pPr>
        <w:spacing w:line="560" w:lineRule="exact"/>
        <w:ind w:firstLine="640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sz w:val="32"/>
          <w:szCs w:val="32"/>
        </w:rPr>
        <w:t>抽查事项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单位办理住房公积金缴存登记情况、单位为职工办理住房公积金账户情况、单位缴存住房公积金情况。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事项类别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一般检查事项。</w:t>
      </w:r>
    </w:p>
    <w:p>
      <w:pPr>
        <w:ind w:firstLine="640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抽查方式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现场检查、书面检查、网络检查。</w:t>
      </w:r>
    </w:p>
    <w:p>
      <w:pPr>
        <w:ind w:firstLine="640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全市所有注册企业。</w:t>
      </w:r>
      <w:bookmarkStart w:id="0" w:name="_GoBack"/>
      <w:bookmarkEnd w:id="0"/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、抽查比例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抽查比例为2%。在同一年度内对同一抽查对象一般不超过1次，因专项检查、特殊事件或上级部门要求等情况另行部署的抽查除外。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sz w:val="32"/>
          <w:szCs w:val="32"/>
        </w:rPr>
        <w:t>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30日前，完成检查对象入库；2023年5月20日前，完成抽查任务；2023年6月30日前，完成检查任务，在检查结束后20个工作日内将检查结果录入省级平台，统一向社会公示；2023年10月31日前，完成对缴存异常单位的转办和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039906F3"/>
    <w:rsid w:val="039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489</Characters>
  <Lines>0</Lines>
  <Paragraphs>0</Paragraphs>
  <TotalTime>1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2023-03-27T03:09:00Z</dcterms:created>
  <dc:creator>我心永恒</dc:creator>
  <cp:lastModifiedBy>我心永恒</cp:lastModifiedBy>
  <dcterms:modified xsi:type="dcterms:W3CDTF">2023-03-27T03:20:45Z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40DDB004EBE7459A86175D1E78304A5B</vt:lpwstr>
  </property>
</Properties>
</file>