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rPr>
          <w:rFonts w:hint="eastAsia" w:ascii="黑体" w:hAnsi="黑体" w:eastAsia="黑体"/>
          <w:bCs/>
          <w:color w:val="000000"/>
          <w:sz w:val="32"/>
          <w:szCs w:val="32"/>
        </w:rPr>
      </w:pPr>
      <w:r>
        <w:rPr>
          <w:rFonts w:hint="eastAsia" w:ascii="黑体" w:hAnsi="黑体" w:eastAsia="黑体"/>
          <w:bCs/>
          <w:color w:val="000000"/>
          <w:sz w:val="32"/>
          <w:szCs w:val="32"/>
        </w:rPr>
        <w:t>附件1</w:t>
      </w:r>
    </w:p>
    <w:p>
      <w:pPr>
        <w:pStyle w:val="4"/>
        <w:spacing w:before="0" w:beforeAutospacing="0" w:after="0" w:afterAutospacing="0"/>
        <w:jc w:val="center"/>
        <w:rPr>
          <w:rFonts w:hint="eastAsia"/>
          <w:bCs/>
          <w:color w:val="000000"/>
          <w:sz w:val="44"/>
          <w:szCs w:val="44"/>
        </w:rPr>
      </w:pPr>
    </w:p>
    <w:p>
      <w:pPr>
        <w:pStyle w:val="4"/>
        <w:spacing w:before="0" w:beforeAutospacing="0" w:after="0" w:afterAutospacing="0"/>
        <w:jc w:val="center"/>
        <w:rPr>
          <w:rFonts w:hint="eastAsia"/>
          <w:bCs/>
          <w:color w:val="000000"/>
          <w:sz w:val="44"/>
          <w:szCs w:val="44"/>
        </w:rPr>
      </w:pPr>
      <w:r>
        <w:rPr>
          <w:rFonts w:hint="eastAsia"/>
          <w:bCs/>
          <w:color w:val="000000"/>
          <w:sz w:val="44"/>
          <w:szCs w:val="44"/>
        </w:rPr>
        <w:t>郑州住房公积金管理中心</w:t>
      </w:r>
    </w:p>
    <w:p>
      <w:pPr>
        <w:pStyle w:val="4"/>
        <w:spacing w:before="0" w:beforeAutospacing="0" w:after="0" w:afterAutospacing="0"/>
        <w:jc w:val="center"/>
        <w:rPr>
          <w:rFonts w:hint="eastAsia"/>
          <w:b/>
          <w:bCs/>
          <w:color w:val="000000"/>
          <w:sz w:val="44"/>
          <w:szCs w:val="44"/>
        </w:rPr>
      </w:pPr>
      <w:r>
        <w:rPr>
          <w:rStyle w:val="7"/>
          <w:rFonts w:hint="eastAsia"/>
          <w:b w:val="0"/>
          <w:color w:val="000000"/>
          <w:sz w:val="44"/>
          <w:szCs w:val="44"/>
        </w:rPr>
        <w:t>2022年度</w:t>
      </w:r>
      <w:r>
        <w:rPr>
          <w:rFonts w:hint="eastAsia" w:cs="仿宋_GB2312"/>
          <w:color w:val="000000"/>
          <w:sz w:val="44"/>
          <w:szCs w:val="44"/>
        </w:rPr>
        <w:t>“双随机、一公开”抽查计划</w:t>
      </w:r>
    </w:p>
    <w:p>
      <w:pPr>
        <w:spacing w:line="560" w:lineRule="exact"/>
        <w:jc w:val="left"/>
        <w:rPr>
          <w:rFonts w:hint="eastAsia" w:ascii="仿宋" w:hAnsi="仿宋" w:eastAsia="仿宋"/>
          <w:color w:val="000000"/>
          <w:sz w:val="32"/>
          <w:szCs w:val="32"/>
        </w:rPr>
      </w:pPr>
    </w:p>
    <w:p>
      <w:pPr>
        <w:spacing w:line="56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为加强依法行政管理，提高行政执法监督效能，根据郑州市“双随机、一公开”监管工作联席会议办公室</w:t>
      </w:r>
      <w:r>
        <w:rPr>
          <w:rFonts w:hint="eastAsia" w:ascii="仿宋_GB2312" w:hAnsi="微软雅黑" w:eastAsia="仿宋_GB2312"/>
          <w:color w:val="000000"/>
          <w:sz w:val="32"/>
          <w:szCs w:val="32"/>
        </w:rPr>
        <w:t>《关于2021年度郑州市“双随机、一公开”监管工作情况通报与2022年工作安排的通知》（郑双随机办〔2022〕1号）</w:t>
      </w:r>
      <w:r>
        <w:rPr>
          <w:rFonts w:hint="eastAsia" w:ascii="仿宋" w:hAnsi="仿宋" w:eastAsia="仿宋" w:cs="宋体"/>
          <w:color w:val="000000"/>
          <w:sz w:val="32"/>
          <w:szCs w:val="32"/>
        </w:rPr>
        <w:t>精神</w:t>
      </w:r>
      <w:r>
        <w:rPr>
          <w:rFonts w:hint="eastAsia" w:ascii="仿宋" w:hAnsi="仿宋" w:eastAsia="仿宋"/>
          <w:color w:val="000000"/>
          <w:sz w:val="32"/>
          <w:szCs w:val="32"/>
        </w:rPr>
        <w:t>，结合郑州住房公积金管理中心（以下简称“公积金中心”）工作实际，制定本计划。</w:t>
      </w:r>
    </w:p>
    <w:p>
      <w:pPr>
        <w:spacing w:line="560" w:lineRule="exact"/>
        <w:ind w:firstLine="640"/>
        <w:jc w:val="left"/>
        <w:rPr>
          <w:rFonts w:hint="eastAsia" w:ascii="黑体" w:hAnsi="黑体" w:eastAsia="黑体" w:cs="仿宋"/>
          <w:sz w:val="32"/>
          <w:szCs w:val="32"/>
        </w:rPr>
      </w:pPr>
      <w:r>
        <w:rPr>
          <w:rFonts w:hint="eastAsia" w:ascii="黑体" w:hAnsi="黑体" w:eastAsia="黑体" w:cs="仿宋"/>
          <w:color w:val="000000"/>
          <w:sz w:val="32"/>
          <w:szCs w:val="32"/>
        </w:rPr>
        <w:t>一、</w:t>
      </w:r>
      <w:r>
        <w:rPr>
          <w:rFonts w:hint="eastAsia" w:ascii="黑体" w:hAnsi="黑体" w:eastAsia="黑体" w:cs="仿宋"/>
          <w:sz w:val="32"/>
          <w:szCs w:val="32"/>
        </w:rPr>
        <w:t>抽查事项名称</w:t>
      </w:r>
    </w:p>
    <w:p>
      <w:pPr>
        <w:pStyle w:val="4"/>
        <w:spacing w:before="0" w:beforeAutospacing="0" w:after="0" w:afterAutospacing="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单位住房公积金缴存登记情况、单位为职工办理住房公积金账户情况、单位缴存住房公积金情况。</w:t>
      </w:r>
    </w:p>
    <w:p>
      <w:pPr>
        <w:pStyle w:val="4"/>
        <w:spacing w:before="0" w:beforeAutospacing="0" w:after="0" w:afterAutospacing="0"/>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w:t>
      </w:r>
      <w:r>
        <w:rPr>
          <w:rFonts w:hint="eastAsia" w:ascii="黑体" w:hAnsi="黑体" w:eastAsia="黑体" w:cs="仿宋"/>
          <w:sz w:val="32"/>
          <w:szCs w:val="32"/>
        </w:rPr>
        <w:t>检查依据</w:t>
      </w:r>
    </w:p>
    <w:p>
      <w:pPr>
        <w:ind w:firstLine="640" w:firstLineChars="200"/>
        <w:jc w:val="left"/>
        <w:rPr>
          <w:rFonts w:hint="eastAsia" w:ascii="仿宋" w:hAnsi="仿宋" w:eastAsia="仿宋" w:cs="宋体"/>
          <w:color w:val="000000"/>
          <w:kern w:val="0"/>
          <w:sz w:val="32"/>
          <w:szCs w:val="32"/>
        </w:rPr>
      </w:pPr>
      <w:r>
        <w:rPr>
          <w:rFonts w:hint="eastAsia" w:ascii="仿宋" w:hAnsi="仿宋" w:eastAsia="仿宋" w:cs="宋体"/>
          <w:bCs/>
          <w:color w:val="000000"/>
          <w:kern w:val="0"/>
          <w:sz w:val="32"/>
          <w:szCs w:val="32"/>
        </w:rPr>
        <w:t>国务院《住房公积金管理条例》第十四条，“</w:t>
      </w:r>
      <w:r>
        <w:rPr>
          <w:rFonts w:hint="eastAsia" w:ascii="仿宋" w:hAnsi="仿宋" w:eastAsia="仿宋" w:cs="宋体"/>
          <w:color w:val="000000"/>
          <w:kern w:val="0"/>
          <w:sz w:val="32"/>
          <w:szCs w:val="32"/>
        </w:rPr>
        <w:t>新设立的单位应当自设立之日起30日内到住房公积金管理中心办理住房公积金缴存登记，并自登记之日起20日内持住房公积金管理中心的审核文件，到受委托银行为本单位职工办理住房公积金账户设立手续。”</w:t>
      </w:r>
    </w:p>
    <w:p>
      <w:pPr>
        <w:ind w:firstLine="640" w:firstLineChars="200"/>
        <w:jc w:val="left"/>
        <w:rPr>
          <w:rFonts w:hint="eastAsia" w:ascii="仿宋" w:hAnsi="仿宋" w:eastAsia="仿宋" w:cs="宋体"/>
          <w:color w:val="000000"/>
          <w:kern w:val="0"/>
          <w:sz w:val="32"/>
          <w:szCs w:val="32"/>
        </w:rPr>
      </w:pPr>
      <w:r>
        <w:rPr>
          <w:rFonts w:hint="eastAsia" w:ascii="仿宋" w:hAnsi="仿宋" w:eastAsia="仿宋" w:cs="宋体"/>
          <w:bCs/>
          <w:color w:val="000000"/>
          <w:kern w:val="0"/>
          <w:sz w:val="32"/>
          <w:szCs w:val="32"/>
        </w:rPr>
        <w:t>国务院《住房公积金管理条例》第十五条，“</w:t>
      </w:r>
      <w:bookmarkStart w:id="0" w:name="_GoBack"/>
      <w:bookmarkEnd w:id="0"/>
      <w:r>
        <w:rPr>
          <w:rFonts w:hint="eastAsia" w:ascii="仿宋" w:hAnsi="仿宋" w:eastAsia="仿宋" w:cs="宋体"/>
          <w:color w:val="000000"/>
          <w:kern w:val="0"/>
          <w:sz w:val="32"/>
          <w:szCs w:val="32"/>
        </w:rPr>
        <w:t>单位录用职工的，应当自录用之日起30日内到住房公积金管理中心办理缴存登记，并持住房公积金管理中心的审核文件，到受委托银行办理职工住房公积金账户的设立或者转移手续。”</w:t>
      </w:r>
    </w:p>
    <w:p>
      <w:pPr>
        <w:ind w:firstLine="640" w:firstLineChars="200"/>
        <w:jc w:val="left"/>
        <w:rPr>
          <w:rFonts w:hint="eastAsia" w:ascii="仿宋" w:hAnsi="仿宋" w:eastAsia="仿宋" w:cs="宋体"/>
          <w:color w:val="000000"/>
          <w:kern w:val="0"/>
          <w:sz w:val="32"/>
          <w:szCs w:val="32"/>
        </w:rPr>
      </w:pPr>
      <w:r>
        <w:rPr>
          <w:rFonts w:hint="eastAsia" w:ascii="仿宋" w:hAnsi="仿宋" w:eastAsia="仿宋" w:cs="宋体"/>
          <w:bCs/>
          <w:color w:val="000000"/>
          <w:kern w:val="0"/>
          <w:sz w:val="32"/>
          <w:szCs w:val="32"/>
        </w:rPr>
        <w:t>国务院《住房公积金管理条例》第二十条，“</w:t>
      </w:r>
      <w:r>
        <w:rPr>
          <w:rFonts w:hint="eastAsia" w:ascii="仿宋" w:hAnsi="仿宋" w:eastAsia="仿宋" w:cs="宋体"/>
          <w:color w:val="000000"/>
          <w:kern w:val="0"/>
          <w:sz w:val="32"/>
          <w:szCs w:val="32"/>
        </w:rPr>
        <w:t>单位应当按时、足额缴存住房公积金，不得逾期缴存或者少缴。”</w:t>
      </w:r>
    </w:p>
    <w:p>
      <w:pPr>
        <w:ind w:firstLine="640" w:firstLineChars="200"/>
        <w:jc w:val="left"/>
        <w:rPr>
          <w:rFonts w:hint="eastAsia" w:ascii="仿宋" w:hAnsi="仿宋" w:eastAsia="仿宋" w:cs="宋体"/>
          <w:bCs/>
          <w:color w:val="000000"/>
          <w:kern w:val="0"/>
          <w:sz w:val="32"/>
          <w:szCs w:val="32"/>
        </w:rPr>
      </w:pPr>
      <w:r>
        <w:rPr>
          <w:rFonts w:hint="eastAsia" w:ascii="仿宋" w:hAnsi="仿宋" w:eastAsia="仿宋" w:cs="宋体"/>
          <w:bCs/>
          <w:color w:val="000000"/>
          <w:kern w:val="0"/>
          <w:sz w:val="32"/>
          <w:szCs w:val="32"/>
        </w:rPr>
        <w:t>《河南省住房公积金管理条例》</w:t>
      </w:r>
      <w:r>
        <w:rPr>
          <w:rStyle w:val="7"/>
          <w:rFonts w:hint="eastAsia" w:ascii="仿宋" w:hAnsi="仿宋" w:eastAsia="仿宋" w:cs="Arial"/>
          <w:b w:val="0"/>
          <w:color w:val="333333"/>
          <w:sz w:val="32"/>
          <w:szCs w:val="32"/>
        </w:rPr>
        <w:t>第四十三条，“</w:t>
      </w:r>
      <w:r>
        <w:rPr>
          <w:rFonts w:hint="eastAsia" w:ascii="仿宋" w:hAnsi="仿宋" w:eastAsia="仿宋" w:cs="Arial"/>
          <w:color w:val="333333"/>
          <w:sz w:val="32"/>
          <w:szCs w:val="32"/>
        </w:rPr>
        <w:t>住房公积金管理中心有权督促单位按时、足额缴存住房公积金，依法检查单位缴存住房公积金情况。被</w:t>
      </w:r>
      <w:r>
        <w:rPr>
          <w:rFonts w:hint="eastAsia" w:ascii="仿宋" w:hAnsi="仿宋" w:eastAsia="仿宋" w:cs="宋体"/>
          <w:bCs/>
          <w:color w:val="000000"/>
          <w:kern w:val="0"/>
          <w:sz w:val="32"/>
          <w:szCs w:val="32"/>
        </w:rPr>
        <w:t>检查单位应当如实提供单位职工工资发放情况和住房公积金缴存情况，不得拒绝。”</w:t>
      </w:r>
    </w:p>
    <w:p>
      <w:pPr>
        <w:ind w:firstLine="640" w:firstLineChars="200"/>
        <w:jc w:val="left"/>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三、检查内容</w:t>
      </w:r>
    </w:p>
    <w:p>
      <w:pPr>
        <w:ind w:firstLine="640" w:firstLineChars="200"/>
        <w:jc w:val="left"/>
        <w:rPr>
          <w:rFonts w:hint="eastAsia" w:ascii="仿宋" w:hAnsi="仿宋" w:eastAsia="仿宋"/>
          <w:color w:val="000000"/>
          <w:sz w:val="32"/>
          <w:szCs w:val="32"/>
        </w:rPr>
      </w:pPr>
      <w:r>
        <w:rPr>
          <w:rFonts w:hint="eastAsia" w:ascii="仿宋" w:hAnsi="仿宋" w:eastAsia="仿宋" w:cs="宋体"/>
          <w:bCs/>
          <w:color w:val="000000"/>
          <w:kern w:val="0"/>
          <w:sz w:val="32"/>
          <w:szCs w:val="32"/>
        </w:rPr>
        <w:t>单位是否依法办理住房公积金缴存登记；是否随上级单位缴存；是否通过人才代理缴存；单</w:t>
      </w:r>
      <w:r>
        <w:rPr>
          <w:rFonts w:hint="eastAsia" w:ascii="仿宋_GB2312" w:hAnsi="等线" w:eastAsia="仿宋_GB2312" w:cs="仿宋_GB2312"/>
          <w:color w:val="000000"/>
          <w:sz w:val="32"/>
          <w:szCs w:val="32"/>
        </w:rPr>
        <w:t>位缴存登记后是否开立职工个人账户；是否为本单位全部职工设立个人账户；单位是否正常缴纳住房公积金；是否存在欠缴、少缴部分职工住房公积金情况。</w:t>
      </w:r>
    </w:p>
    <w:p>
      <w:pPr>
        <w:pStyle w:val="4"/>
        <w:spacing w:before="0" w:beforeAutospacing="0" w:after="0" w:afterAutospacing="0"/>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四、</w:t>
      </w:r>
      <w:r>
        <w:rPr>
          <w:rFonts w:hint="eastAsia" w:ascii="黑体" w:hAnsi="黑体" w:eastAsia="黑体" w:cs="仿宋"/>
          <w:sz w:val="32"/>
          <w:szCs w:val="32"/>
        </w:rPr>
        <w:t>检查方式</w:t>
      </w:r>
    </w:p>
    <w:p>
      <w:pPr>
        <w:pStyle w:val="4"/>
        <w:spacing w:before="0" w:beforeAutospacing="0" w:after="0" w:afterAutospacing="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现场检查、书面检查、网络检查。</w:t>
      </w:r>
    </w:p>
    <w:p>
      <w:pPr>
        <w:pStyle w:val="4"/>
        <w:spacing w:before="0" w:beforeAutospacing="0" w:after="0" w:afterAutospacing="0"/>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五、抽查比例</w:t>
      </w:r>
    </w:p>
    <w:p>
      <w:pPr>
        <w:pStyle w:val="4"/>
        <w:spacing w:before="0" w:beforeAutospacing="0" w:after="0" w:afterAutospacing="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抽查比例不低于3%。</w:t>
      </w:r>
      <w:r>
        <w:rPr>
          <w:rFonts w:hint="eastAsia" w:ascii="仿宋_GB2312" w:eastAsia="仿宋_GB2312"/>
          <w:sz w:val="32"/>
          <w:szCs w:val="32"/>
        </w:rPr>
        <w:t>在同一年度内对同一抽查对象一般不超过1次</w:t>
      </w:r>
      <w:r>
        <w:rPr>
          <w:rFonts w:hint="eastAsia" w:ascii="仿宋" w:hAnsi="仿宋" w:eastAsia="仿宋"/>
          <w:color w:val="000000"/>
          <w:sz w:val="32"/>
          <w:szCs w:val="32"/>
        </w:rPr>
        <w:t>，因专项检查、特殊事件或上级部门要求等情况另行部署的抽查除外。</w:t>
      </w:r>
    </w:p>
    <w:p>
      <w:pPr>
        <w:pStyle w:val="4"/>
        <w:spacing w:before="0" w:beforeAutospacing="0" w:after="0" w:afterAutospacing="0"/>
        <w:ind w:firstLine="640" w:firstLineChars="200"/>
        <w:rPr>
          <w:rFonts w:hint="eastAsia" w:ascii="黑体" w:hAnsi="黑体" w:eastAsia="黑体" w:cs="仿宋"/>
          <w:sz w:val="32"/>
          <w:szCs w:val="32"/>
        </w:rPr>
      </w:pPr>
      <w:r>
        <w:rPr>
          <w:rFonts w:hint="eastAsia" w:ascii="黑体" w:hAnsi="黑体" w:eastAsia="黑体"/>
          <w:color w:val="000000"/>
          <w:sz w:val="32"/>
          <w:szCs w:val="32"/>
        </w:rPr>
        <w:t>六、</w:t>
      </w:r>
      <w:r>
        <w:rPr>
          <w:rFonts w:hint="eastAsia" w:ascii="黑体" w:hAnsi="黑体" w:eastAsia="黑体" w:cs="仿宋"/>
          <w:sz w:val="32"/>
          <w:szCs w:val="32"/>
        </w:rPr>
        <w:t>抽查时间</w:t>
      </w:r>
    </w:p>
    <w:p>
      <w:pPr>
        <w:pStyle w:val="4"/>
        <w:spacing w:before="0" w:beforeAutospacing="0" w:after="0" w:afterAutospacing="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2022年6月30日前，完成检查对象入库并启动抽查工作；2022年9月30日前，完成抽查任务。</w:t>
      </w:r>
    </w:p>
    <w:p>
      <w:pPr>
        <w:pStyle w:val="4"/>
        <w:spacing w:before="0" w:beforeAutospacing="0" w:after="0" w:afterAutospacing="0"/>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七、抽查结果</w:t>
      </w:r>
    </w:p>
    <w:p>
      <w:pPr>
        <w:ind w:firstLine="640" w:firstLineChars="200"/>
        <w:jc w:val="left"/>
        <w:rPr>
          <w:rFonts w:hint="eastAsia" w:eastAsia="仿宋"/>
          <w:lang w:val="en-US" w:eastAsia="zh-CN"/>
        </w:rPr>
      </w:pPr>
      <w:r>
        <w:rPr>
          <w:rFonts w:hint="eastAsia" w:ascii="仿宋" w:hAnsi="仿宋" w:eastAsia="仿宋"/>
          <w:color w:val="000000"/>
          <w:sz w:val="32"/>
          <w:szCs w:val="32"/>
        </w:rPr>
        <w:t>2022年12月31日前，抽查结果</w:t>
      </w:r>
      <w:r>
        <w:rPr>
          <w:rFonts w:hint="eastAsia" w:ascii="仿宋" w:hAnsi="仿宋" w:eastAsia="仿宋"/>
          <w:sz w:val="32"/>
          <w:szCs w:val="32"/>
        </w:rPr>
        <w:t>通过公积金中心门户网站和国家企业信用信息公示系统（河南）进行</w:t>
      </w:r>
      <w:r>
        <w:rPr>
          <w:rFonts w:hint="eastAsia" w:ascii="仿宋" w:hAnsi="仿宋" w:eastAsia="仿宋"/>
          <w:sz w:val="32"/>
          <w:szCs w:val="32"/>
          <w:lang w:val="en-US" w:eastAsia="zh-CN"/>
        </w:rPr>
        <w:t>公开。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641A7"/>
    <w:rsid w:val="102641A7"/>
    <w:rsid w:val="7DDE1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885</Words>
  <Characters>914</Characters>
  <Lines>0</Lines>
  <Paragraphs>0</Paragraphs>
  <TotalTime>1</TotalTime>
  <ScaleCrop>false</ScaleCrop>
  <LinksUpToDate>false</LinksUpToDate>
  <CharactersWithSpaces>914</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2022-04-12T07:14:00Z</dcterms:created>
  <dc:creator>Administrator</dc:creator>
  <cp:lastModifiedBy>Administrator</cp:lastModifiedBy>
  <dcterms:modified xsi:type="dcterms:W3CDTF">2022-04-12T07:18:53Z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513EA25C6D474A6E9E2E80773B54EE55</vt:lpwstr>
  </property>
</Properties>
</file>