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附件2</w:t>
      </w:r>
    </w:p>
    <w:p>
      <w:pPr>
        <w:jc w:val="center"/>
        <w:rPr>
          <w:rFonts w:ascii="黑体" w:hAnsi="黑体" w:eastAsia="黑体" w:cs="黑体"/>
          <w:sz w:val="32"/>
          <w:szCs w:val="32"/>
        </w:rPr>
      </w:pPr>
      <w:bookmarkStart w:id="0" w:name="_GoBack"/>
      <w:r>
        <w:rPr>
          <w:rFonts w:hint="eastAsia" w:ascii="黑体" w:hAnsi="黑体" w:eastAsia="黑体" w:cs="黑体"/>
          <w:sz w:val="32"/>
          <w:szCs w:val="32"/>
        </w:rPr>
        <w:t>郑州住房公积金管理中心随机抽查事项清单</w:t>
      </w:r>
    </w:p>
    <w:bookmarkEnd w:id="0"/>
    <w:tbl>
      <w:tblPr>
        <w:tblStyle w:val="3"/>
        <w:tblW w:w="15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851"/>
        <w:gridCol w:w="1707"/>
        <w:gridCol w:w="913"/>
        <w:gridCol w:w="1916"/>
        <w:gridCol w:w="1424"/>
        <w:gridCol w:w="1559"/>
        <w:gridCol w:w="1701"/>
        <w:gridCol w:w="4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序号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责任单位</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抽查事项</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检查对象</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检查内容</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事项类别</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检查方式</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hint="eastAsia" w:ascii="黑体" w:hAnsi="宋体" w:eastAsia="黑体" w:cs="黑体"/>
                <w:color w:val="000000"/>
                <w:kern w:val="0"/>
                <w:sz w:val="24"/>
                <w:szCs w:val="21"/>
                <w:lang w:eastAsia="zh-CN"/>
              </w:rPr>
            </w:pPr>
            <w:r>
              <w:rPr>
                <w:rFonts w:hint="eastAsia" w:ascii="黑体" w:hAnsi="宋体" w:eastAsia="黑体" w:cs="黑体"/>
                <w:color w:val="000000"/>
                <w:kern w:val="0"/>
                <w:sz w:val="24"/>
                <w:szCs w:val="21"/>
              </w:rPr>
              <w:t>检查部门</w:t>
            </w:r>
          </w:p>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实施层级</w:t>
            </w:r>
          </w:p>
        </w:tc>
        <w:tc>
          <w:tcPr>
            <w:tcW w:w="466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黑体" w:hAnsi="宋体" w:eastAsia="黑体" w:cs="黑体"/>
                <w:color w:val="000000"/>
                <w:kern w:val="0"/>
                <w:szCs w:val="21"/>
              </w:rPr>
            </w:pPr>
            <w:r>
              <w:rPr>
                <w:rFonts w:hint="eastAsia" w:ascii="黑体" w:hAnsi="宋体" w:eastAsia="黑体" w:cs="黑体"/>
                <w:color w:val="000000"/>
                <w:kern w:val="0"/>
                <w:sz w:val="24"/>
                <w:szCs w:val="21"/>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郑州住房公积金管理中心</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单位办理缴存登记情况</w:t>
            </w: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企业</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单位是否依法办理住房公积金缴存登记；是否随上级单位缴存；是否通过人才代理缴存等。</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一般检查事项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现场检查、书面检查、网络检查。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市、县公积金管理机构</w:t>
            </w:r>
          </w:p>
        </w:tc>
        <w:tc>
          <w:tcPr>
            <w:tcW w:w="4669"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left"/>
              <w:rPr>
                <w:rFonts w:ascii="仿宋" w:hAnsi="仿宋" w:eastAsia="仿宋" w:cs="宋体"/>
                <w:color w:val="000000"/>
                <w:kern w:val="0"/>
                <w:sz w:val="24"/>
                <w:szCs w:val="21"/>
              </w:rPr>
            </w:pPr>
            <w:r>
              <w:rPr>
                <w:rFonts w:hint="eastAsia" w:ascii="仿宋" w:hAnsi="仿宋" w:eastAsia="仿宋" w:cs="宋体"/>
                <w:bCs/>
                <w:color w:val="000000"/>
                <w:kern w:val="0"/>
                <w:sz w:val="24"/>
                <w:szCs w:val="21"/>
              </w:rPr>
              <w:t>国务院《住房公积金管理条例》第十四条</w:t>
            </w:r>
            <w:r>
              <w:rPr>
                <w:rFonts w:hint="eastAsia" w:ascii="仿宋" w:hAnsi="仿宋" w:eastAsia="仿宋" w:cs="宋体"/>
                <w:color w:val="000000"/>
                <w:kern w:val="0"/>
                <w:sz w:val="24"/>
                <w:szCs w:val="21"/>
              </w:rPr>
              <w:t>新设立的单位应当自设立之日起30日内到住房公积金管理中心办理住房公积金缴存登记，并自登记之日起20日内持住房公积金管理中心的审核文件，到受委托银行为本单位职工办理住房公积金账户设立手续。</w:t>
            </w:r>
            <w:r>
              <w:rPr>
                <w:rFonts w:hint="eastAsia" w:ascii="仿宋" w:hAnsi="仿宋" w:eastAsia="仿宋" w:cs="宋体"/>
                <w:bCs/>
                <w:color w:val="000000"/>
                <w:kern w:val="0"/>
                <w:sz w:val="24"/>
                <w:szCs w:val="21"/>
              </w:rPr>
              <w:t>第十五条</w:t>
            </w:r>
            <w:r>
              <w:rPr>
                <w:rFonts w:hint="eastAsia" w:ascii="仿宋" w:hAnsi="仿宋" w:eastAsia="仿宋" w:cs="宋体"/>
                <w:color w:val="000000"/>
                <w:kern w:val="0"/>
                <w:sz w:val="24"/>
                <w:szCs w:val="21"/>
              </w:rPr>
              <w:t>单位录用职工的，应当自录用之日起30日内到住房公积金管理中心办理缴存登记，并持住房公积金管理中心的审核文件，到受委托银行办理职工住房公积金账户的设立或者转移手续.</w:t>
            </w:r>
            <w:r>
              <w:rPr>
                <w:rFonts w:hint="eastAsia" w:ascii="仿宋" w:hAnsi="仿宋" w:eastAsia="仿宋" w:cs="宋体"/>
                <w:bCs/>
                <w:color w:val="000000"/>
                <w:kern w:val="0"/>
                <w:sz w:val="24"/>
                <w:szCs w:val="21"/>
              </w:rPr>
              <w:t>第二十条</w:t>
            </w:r>
            <w:r>
              <w:rPr>
                <w:rFonts w:hint="eastAsia" w:ascii="仿宋" w:hAnsi="仿宋" w:eastAsia="仿宋" w:cs="宋体"/>
                <w:color w:val="000000"/>
                <w:kern w:val="0"/>
                <w:sz w:val="24"/>
                <w:szCs w:val="21"/>
              </w:rPr>
              <w:t>单位应当按时、足额缴存住房公积金，不得逾期缴存或者少缴。</w:t>
            </w:r>
            <w:r>
              <w:rPr>
                <w:rFonts w:hint="eastAsia" w:ascii="仿宋" w:hAnsi="仿宋" w:eastAsia="仿宋" w:cs="宋体"/>
                <w:bCs/>
                <w:color w:val="000000"/>
                <w:kern w:val="0"/>
                <w:sz w:val="24"/>
                <w:szCs w:val="21"/>
              </w:rPr>
              <w:t>《河南省住房公积金管理条例》</w:t>
            </w:r>
            <w:r>
              <w:rPr>
                <w:rStyle w:val="5"/>
                <w:rFonts w:hint="eastAsia" w:ascii="仿宋" w:hAnsi="仿宋" w:eastAsia="仿宋" w:cs="Arial"/>
                <w:b w:val="0"/>
                <w:color w:val="333333"/>
                <w:sz w:val="24"/>
                <w:szCs w:val="21"/>
              </w:rPr>
              <w:t>第四十三条</w:t>
            </w:r>
            <w:r>
              <w:rPr>
                <w:rFonts w:hint="eastAsia" w:ascii="仿宋" w:hAnsi="仿宋" w:eastAsia="仿宋" w:cs="Arial"/>
                <w:color w:val="333333"/>
                <w:sz w:val="24"/>
                <w:szCs w:val="21"/>
              </w:rPr>
              <w:t>住房公积金管理中心有权督促单位按时、足额缴存住房公积金，依法检查单位缴存住房公积金情况。被</w:t>
            </w:r>
            <w:r>
              <w:rPr>
                <w:rFonts w:hint="eastAsia" w:ascii="仿宋" w:hAnsi="仿宋" w:eastAsia="仿宋" w:cs="宋体"/>
                <w:bCs/>
                <w:color w:val="000000"/>
                <w:kern w:val="0"/>
                <w:sz w:val="24"/>
                <w:szCs w:val="21"/>
              </w:rPr>
              <w:t>检查单位应当如实提供单位职工工资发放情况和住房公积金缴存情况，不得拒绝。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郑州住房公积金管理中心</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职工个人账户设立情况</w:t>
            </w: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企业</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单位缴存登记后是否开立职工个人账户；是否为本单位全部职工设立个人账户。</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一般检查事项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现场检查、书面检查、网络检查。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市、县公积金管理机构</w:t>
            </w:r>
          </w:p>
        </w:tc>
        <w:tc>
          <w:tcPr>
            <w:tcW w:w="4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郑州住房公积金管理中心</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单位缴存住房公积金情况</w:t>
            </w: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企业</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szCs w:val="21"/>
              </w:rPr>
            </w:pPr>
            <w:r>
              <w:rPr>
                <w:rFonts w:hint="eastAsia" w:ascii="仿宋_GB2312" w:hAnsi="等线" w:eastAsia="仿宋_GB2312" w:cs="仿宋_GB2312"/>
                <w:color w:val="000000"/>
                <w:sz w:val="24"/>
                <w:szCs w:val="21"/>
              </w:rPr>
              <w:t>单位是否正常缴纳住房公积金；是否存在欠缴、少缴部分职工住房公积金情况。</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一般检查事项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现场检查、书面检查、网络检查。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等线" w:eastAsia="仿宋_GB2312" w:cs="仿宋_GB2312"/>
                <w:color w:val="000000"/>
                <w:kern w:val="0"/>
                <w:szCs w:val="21"/>
              </w:rPr>
            </w:pPr>
            <w:r>
              <w:rPr>
                <w:rFonts w:hint="eastAsia" w:ascii="仿宋_GB2312" w:hAnsi="等线" w:eastAsia="仿宋_GB2312" w:cs="仿宋_GB2312"/>
                <w:color w:val="000000"/>
                <w:kern w:val="0"/>
                <w:sz w:val="24"/>
                <w:szCs w:val="21"/>
              </w:rPr>
              <w:t>市、县公积金管理机构</w:t>
            </w:r>
          </w:p>
        </w:tc>
        <w:tc>
          <w:tcPr>
            <w:tcW w:w="4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ascii="仿宋" w:hAnsi="仿宋" w:eastAsia="仿宋" w:cs="宋体"/>
                <w:bCs/>
                <w:color w:val="000000"/>
                <w:kern w:val="0"/>
                <w:szCs w:val="21"/>
              </w:rPr>
            </w:pPr>
          </w:p>
        </w:tc>
      </w:tr>
    </w:tbl>
    <w:p>
      <w:pPr>
        <w:ind w:firstLine="120" w:firstLineChars="50"/>
      </w:pPr>
      <w:r>
        <w:rPr>
          <w:rFonts w:hint="eastAsia" w:ascii="黑体" w:hAnsi="黑体" w:eastAsia="黑体" w:cs="黑体"/>
          <w:sz w:val="24"/>
        </w:rPr>
        <w:t>填报人：张原明                                                                  联系方式：(0371)67187673</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C69F1"/>
    <w:rsid w:val="535C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2022-04-12T07:18:00Z</dcterms:created>
  <dc:creator>Administrator</dc:creator>
  <cp:lastModifiedBy>Administrator</cp:lastModifiedBy>
  <dcterms:modified xsi:type="dcterms:W3CDTF">2022-04-12T07:19:47Z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013F0F96B0E441F6971D02EDDC746E44</vt:lpwstr>
  </property>
</Properties>
</file>